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2F8" w:rsidRPr="009F22F8" w:rsidRDefault="009F22F8" w:rsidP="009F22F8">
      <w:pPr>
        <w:shd w:val="clear" w:color="auto" w:fill="FFFFFF"/>
        <w:spacing w:after="150" w:line="360" w:lineRule="atLeast"/>
        <w:ind w:left="150" w:right="150"/>
        <w:jc w:val="center"/>
        <w:outlineLvl w:val="1"/>
        <w:rPr>
          <w:rFonts w:ascii="Arial" w:eastAsia="Times New Roman" w:hAnsi="Arial" w:cs="Arial"/>
          <w:color w:val="082668"/>
          <w:sz w:val="36"/>
          <w:szCs w:val="36"/>
        </w:rPr>
      </w:pPr>
      <w:proofErr w:type="spellStart"/>
      <w:r w:rsidRPr="009F22F8">
        <w:rPr>
          <w:rFonts w:ascii="Arial" w:eastAsia="Times New Roman" w:hAnsi="Arial" w:cs="Arial"/>
          <w:color w:val="082668"/>
          <w:sz w:val="36"/>
          <w:szCs w:val="36"/>
        </w:rPr>
        <w:t>Precizari</w:t>
      </w:r>
      <w:proofErr w:type="spellEnd"/>
      <w:r w:rsidRPr="009F22F8">
        <w:rPr>
          <w:rFonts w:ascii="Arial" w:eastAsia="Times New Roman" w:hAnsi="Arial" w:cs="Arial"/>
          <w:color w:val="082668"/>
          <w:sz w:val="36"/>
          <w:szCs w:val="36"/>
        </w:rPr>
        <w:t xml:space="preserve"> - </w:t>
      </w:r>
      <w:proofErr w:type="spellStart"/>
      <w:r w:rsidRPr="009F22F8">
        <w:rPr>
          <w:rFonts w:ascii="Arial" w:eastAsia="Times New Roman" w:hAnsi="Arial" w:cs="Arial"/>
          <w:color w:val="082668"/>
          <w:sz w:val="36"/>
          <w:szCs w:val="36"/>
        </w:rPr>
        <w:t>Dosarul</w:t>
      </w:r>
      <w:proofErr w:type="spellEnd"/>
      <w:r w:rsidRPr="009F22F8">
        <w:rPr>
          <w:rFonts w:ascii="Arial" w:eastAsia="Times New Roman" w:hAnsi="Arial" w:cs="Arial"/>
          <w:color w:val="082668"/>
          <w:sz w:val="36"/>
          <w:szCs w:val="36"/>
        </w:rPr>
        <w:t xml:space="preserve"> </w:t>
      </w:r>
      <w:proofErr w:type="spellStart"/>
      <w:r w:rsidRPr="009F22F8">
        <w:rPr>
          <w:rFonts w:ascii="Arial" w:eastAsia="Times New Roman" w:hAnsi="Arial" w:cs="Arial"/>
          <w:color w:val="082668"/>
          <w:sz w:val="36"/>
          <w:szCs w:val="36"/>
        </w:rPr>
        <w:t>Revoluției</w:t>
      </w:r>
      <w:proofErr w:type="spellEnd"/>
    </w:p>
    <w:p w:rsidR="009F22F8" w:rsidRPr="009F22F8" w:rsidRDefault="009F22F8" w:rsidP="009F22F8">
      <w:pPr>
        <w:shd w:val="clear" w:color="auto" w:fill="FFFFFF"/>
        <w:spacing w:after="150" w:line="240" w:lineRule="auto"/>
        <w:ind w:firstLine="450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10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noiembrie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2021       </w:t>
      </w:r>
    </w:p>
    <w:p w:rsidR="009F22F8" w:rsidRPr="009F22F8" w:rsidRDefault="009F22F8" w:rsidP="009F22F8">
      <w:pPr>
        <w:shd w:val="clear" w:color="auto" w:fill="FFFFFF"/>
        <w:spacing w:after="150" w:line="240" w:lineRule="auto"/>
        <w:ind w:firstLine="45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22F8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F22F8" w:rsidRPr="009F22F8" w:rsidRDefault="009F22F8" w:rsidP="009F22F8">
      <w:pPr>
        <w:shd w:val="clear" w:color="auto" w:fill="FFFFFF"/>
        <w:spacing w:after="150" w:line="240" w:lineRule="auto"/>
        <w:ind w:firstLine="45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22F8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F22F8" w:rsidRPr="009F22F8" w:rsidRDefault="009F22F8" w:rsidP="009F22F8">
      <w:pPr>
        <w:shd w:val="clear" w:color="auto" w:fill="FFFFFF"/>
        <w:spacing w:after="150" w:line="240" w:lineRule="auto"/>
        <w:ind w:firstLine="45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22F8">
        <w:rPr>
          <w:rFonts w:ascii="Arial" w:eastAsia="Times New Roman" w:hAnsi="Arial" w:cs="Arial"/>
          <w:color w:val="000000"/>
          <w:sz w:val="21"/>
          <w:szCs w:val="21"/>
        </w:rPr>
        <w:t> </w:t>
      </w:r>
      <w:bookmarkStart w:id="0" w:name="_GoBack"/>
      <w:bookmarkEnd w:id="0"/>
    </w:p>
    <w:p w:rsidR="009F22F8" w:rsidRPr="009F22F8" w:rsidRDefault="009F22F8" w:rsidP="009F22F8">
      <w:pPr>
        <w:shd w:val="clear" w:color="auto" w:fill="FFFFFF"/>
        <w:spacing w:after="150" w:line="240" w:lineRule="auto"/>
        <w:ind w:firstLine="45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22F8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F22F8" w:rsidRPr="009F22F8" w:rsidRDefault="009F22F8" w:rsidP="009F22F8">
      <w:pPr>
        <w:shd w:val="clear" w:color="auto" w:fill="FFFFFF"/>
        <w:spacing w:after="150" w:line="240" w:lineRule="auto"/>
        <w:ind w:firstLine="45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F22F8">
        <w:rPr>
          <w:rFonts w:ascii="Arial" w:eastAsia="Times New Roman" w:hAnsi="Arial" w:cs="Arial"/>
          <w:b/>
          <w:bCs/>
          <w:color w:val="000000"/>
          <w:sz w:val="21"/>
          <w:szCs w:val="21"/>
        </w:rPr>
        <w:t>                     </w:t>
      </w:r>
    </w:p>
    <w:p w:rsidR="009F22F8" w:rsidRPr="009F22F8" w:rsidRDefault="009F22F8" w:rsidP="009F22F8">
      <w:pPr>
        <w:shd w:val="clear" w:color="auto" w:fill="FFFFFF"/>
        <w:spacing w:after="150" w:line="240" w:lineRule="auto"/>
        <w:ind w:firstLine="45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F22F8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F22F8" w:rsidRPr="009F22F8" w:rsidRDefault="009F22F8" w:rsidP="009F22F8">
      <w:pPr>
        <w:shd w:val="clear" w:color="auto" w:fill="FFFFFF"/>
        <w:spacing w:after="150" w:line="240" w:lineRule="auto"/>
        <w:ind w:firstLine="45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F22F8">
        <w:rPr>
          <w:rFonts w:ascii="Arial" w:eastAsia="Times New Roman" w:hAnsi="Arial" w:cs="Arial"/>
          <w:b/>
          <w:bCs/>
          <w:color w:val="000000"/>
          <w:sz w:val="21"/>
          <w:szCs w:val="21"/>
        </w:rPr>
        <w:t>Biroul</w:t>
      </w:r>
      <w:proofErr w:type="spellEnd"/>
      <w:r w:rsidRPr="009F22F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de </w:t>
      </w:r>
      <w:proofErr w:type="spellStart"/>
      <w:r w:rsidRPr="009F22F8">
        <w:rPr>
          <w:rFonts w:ascii="Arial" w:eastAsia="Times New Roman" w:hAnsi="Arial" w:cs="Arial"/>
          <w:b/>
          <w:bCs/>
          <w:color w:val="000000"/>
          <w:sz w:val="21"/>
          <w:szCs w:val="21"/>
        </w:rPr>
        <w:t>informare</w:t>
      </w:r>
      <w:proofErr w:type="spellEnd"/>
      <w:r w:rsidRPr="009F22F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9F22F8">
        <w:rPr>
          <w:rFonts w:ascii="Arial" w:eastAsia="Times New Roman" w:hAnsi="Arial" w:cs="Arial"/>
          <w:b/>
          <w:bCs/>
          <w:color w:val="000000"/>
          <w:sz w:val="21"/>
          <w:szCs w:val="21"/>
        </w:rPr>
        <w:t>și</w:t>
      </w:r>
      <w:proofErr w:type="spellEnd"/>
      <w:r w:rsidRPr="009F22F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9F22F8">
        <w:rPr>
          <w:rFonts w:ascii="Arial" w:eastAsia="Times New Roman" w:hAnsi="Arial" w:cs="Arial"/>
          <w:b/>
          <w:bCs/>
          <w:color w:val="000000"/>
          <w:sz w:val="21"/>
          <w:szCs w:val="21"/>
        </w:rPr>
        <w:t>relații</w:t>
      </w:r>
      <w:proofErr w:type="spellEnd"/>
      <w:r w:rsidRPr="009F22F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9F22F8">
        <w:rPr>
          <w:rFonts w:ascii="Arial" w:eastAsia="Times New Roman" w:hAnsi="Arial" w:cs="Arial"/>
          <w:b/>
          <w:bCs/>
          <w:color w:val="000000"/>
          <w:sz w:val="21"/>
          <w:szCs w:val="21"/>
        </w:rPr>
        <w:t>publice</w:t>
      </w:r>
      <w:proofErr w:type="spellEnd"/>
      <w:r w:rsidRPr="009F22F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din </w:t>
      </w:r>
      <w:proofErr w:type="spellStart"/>
      <w:r w:rsidRPr="009F22F8">
        <w:rPr>
          <w:rFonts w:ascii="Arial" w:eastAsia="Times New Roman" w:hAnsi="Arial" w:cs="Arial"/>
          <w:b/>
          <w:bCs/>
          <w:color w:val="000000"/>
          <w:sz w:val="21"/>
          <w:szCs w:val="21"/>
        </w:rPr>
        <w:t>cadrul</w:t>
      </w:r>
      <w:proofErr w:type="spellEnd"/>
      <w:r w:rsidRPr="009F22F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9F22F8">
        <w:rPr>
          <w:rFonts w:ascii="Arial" w:eastAsia="Times New Roman" w:hAnsi="Arial" w:cs="Arial"/>
          <w:b/>
          <w:bCs/>
          <w:color w:val="000000"/>
          <w:sz w:val="21"/>
          <w:szCs w:val="21"/>
        </w:rPr>
        <w:t>Parchetului</w:t>
      </w:r>
      <w:proofErr w:type="spellEnd"/>
      <w:r w:rsidRPr="009F22F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de pe </w:t>
      </w:r>
      <w:proofErr w:type="spellStart"/>
      <w:r w:rsidRPr="009F22F8">
        <w:rPr>
          <w:rFonts w:ascii="Arial" w:eastAsia="Times New Roman" w:hAnsi="Arial" w:cs="Arial"/>
          <w:b/>
          <w:bCs/>
          <w:color w:val="000000"/>
          <w:sz w:val="21"/>
          <w:szCs w:val="21"/>
        </w:rPr>
        <w:t>lângă</w:t>
      </w:r>
      <w:proofErr w:type="spellEnd"/>
      <w:r w:rsidRPr="009F22F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9F22F8">
        <w:rPr>
          <w:rFonts w:ascii="Arial" w:eastAsia="Times New Roman" w:hAnsi="Arial" w:cs="Arial"/>
          <w:b/>
          <w:bCs/>
          <w:color w:val="000000"/>
          <w:sz w:val="21"/>
          <w:szCs w:val="21"/>
        </w:rPr>
        <w:t>Înalta</w:t>
      </w:r>
      <w:proofErr w:type="spellEnd"/>
      <w:r w:rsidRPr="009F22F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9F22F8">
        <w:rPr>
          <w:rFonts w:ascii="Arial" w:eastAsia="Times New Roman" w:hAnsi="Arial" w:cs="Arial"/>
          <w:b/>
          <w:bCs/>
          <w:color w:val="000000"/>
          <w:sz w:val="21"/>
          <w:szCs w:val="21"/>
        </w:rPr>
        <w:t>Curte</w:t>
      </w:r>
      <w:proofErr w:type="spellEnd"/>
      <w:r w:rsidRPr="009F22F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de </w:t>
      </w:r>
      <w:proofErr w:type="spellStart"/>
      <w:r w:rsidRPr="009F22F8">
        <w:rPr>
          <w:rFonts w:ascii="Arial" w:eastAsia="Times New Roman" w:hAnsi="Arial" w:cs="Arial"/>
          <w:b/>
          <w:bCs/>
          <w:color w:val="000000"/>
          <w:sz w:val="21"/>
          <w:szCs w:val="21"/>
        </w:rPr>
        <w:t>Casație</w:t>
      </w:r>
      <w:proofErr w:type="spellEnd"/>
      <w:r w:rsidRPr="009F22F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9F22F8">
        <w:rPr>
          <w:rFonts w:ascii="Arial" w:eastAsia="Times New Roman" w:hAnsi="Arial" w:cs="Arial"/>
          <w:b/>
          <w:bCs/>
          <w:color w:val="000000"/>
          <w:sz w:val="21"/>
          <w:szCs w:val="21"/>
        </w:rPr>
        <w:t>și</w:t>
      </w:r>
      <w:proofErr w:type="spellEnd"/>
      <w:r w:rsidRPr="009F22F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9F22F8">
        <w:rPr>
          <w:rFonts w:ascii="Arial" w:eastAsia="Times New Roman" w:hAnsi="Arial" w:cs="Arial"/>
          <w:b/>
          <w:bCs/>
          <w:color w:val="000000"/>
          <w:sz w:val="21"/>
          <w:szCs w:val="21"/>
        </w:rPr>
        <w:t>Justiție</w:t>
      </w:r>
      <w:proofErr w:type="spellEnd"/>
      <w:r w:rsidRPr="009F22F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9F22F8">
        <w:rPr>
          <w:rFonts w:ascii="Arial" w:eastAsia="Times New Roman" w:hAnsi="Arial" w:cs="Arial"/>
          <w:b/>
          <w:bCs/>
          <w:color w:val="000000"/>
          <w:sz w:val="21"/>
          <w:szCs w:val="21"/>
        </w:rPr>
        <w:t>este</w:t>
      </w:r>
      <w:proofErr w:type="spellEnd"/>
      <w:r w:rsidRPr="009F22F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9F22F8">
        <w:rPr>
          <w:rFonts w:ascii="Arial" w:eastAsia="Times New Roman" w:hAnsi="Arial" w:cs="Arial"/>
          <w:b/>
          <w:bCs/>
          <w:color w:val="000000"/>
          <w:sz w:val="21"/>
          <w:szCs w:val="21"/>
        </w:rPr>
        <w:t>împuternicit</w:t>
      </w:r>
      <w:proofErr w:type="spellEnd"/>
      <w:r w:rsidRPr="009F22F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9F22F8">
        <w:rPr>
          <w:rFonts w:ascii="Arial" w:eastAsia="Times New Roman" w:hAnsi="Arial" w:cs="Arial"/>
          <w:b/>
          <w:bCs/>
          <w:color w:val="000000"/>
          <w:sz w:val="21"/>
          <w:szCs w:val="21"/>
        </w:rPr>
        <w:t>să</w:t>
      </w:r>
      <w:proofErr w:type="spellEnd"/>
      <w:r w:rsidRPr="009F22F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9F22F8">
        <w:rPr>
          <w:rFonts w:ascii="Arial" w:eastAsia="Times New Roman" w:hAnsi="Arial" w:cs="Arial"/>
          <w:b/>
          <w:bCs/>
          <w:color w:val="000000"/>
          <w:sz w:val="21"/>
          <w:szCs w:val="21"/>
        </w:rPr>
        <w:t>aducă</w:t>
      </w:r>
      <w:proofErr w:type="spellEnd"/>
      <w:r w:rsidRPr="009F22F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la </w:t>
      </w:r>
      <w:proofErr w:type="spellStart"/>
      <w:r w:rsidRPr="009F22F8">
        <w:rPr>
          <w:rFonts w:ascii="Arial" w:eastAsia="Times New Roman" w:hAnsi="Arial" w:cs="Arial"/>
          <w:b/>
          <w:bCs/>
          <w:color w:val="000000"/>
          <w:sz w:val="21"/>
          <w:szCs w:val="21"/>
        </w:rPr>
        <w:t>cunoștința</w:t>
      </w:r>
      <w:proofErr w:type="spellEnd"/>
      <w:r w:rsidRPr="009F22F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9F22F8">
        <w:rPr>
          <w:rFonts w:ascii="Arial" w:eastAsia="Times New Roman" w:hAnsi="Arial" w:cs="Arial"/>
          <w:b/>
          <w:bCs/>
          <w:color w:val="000000"/>
          <w:sz w:val="21"/>
          <w:szCs w:val="21"/>
        </w:rPr>
        <w:t>opiniei</w:t>
      </w:r>
      <w:proofErr w:type="spellEnd"/>
      <w:r w:rsidRPr="009F22F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9F22F8">
        <w:rPr>
          <w:rFonts w:ascii="Arial" w:eastAsia="Times New Roman" w:hAnsi="Arial" w:cs="Arial"/>
          <w:b/>
          <w:bCs/>
          <w:color w:val="000000"/>
          <w:sz w:val="21"/>
          <w:szCs w:val="21"/>
        </w:rPr>
        <w:t>publice</w:t>
      </w:r>
      <w:proofErr w:type="spellEnd"/>
      <w:r w:rsidRPr="009F22F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9F22F8">
        <w:rPr>
          <w:rFonts w:ascii="Arial" w:eastAsia="Times New Roman" w:hAnsi="Arial" w:cs="Arial"/>
          <w:b/>
          <w:bCs/>
          <w:color w:val="000000"/>
          <w:sz w:val="21"/>
          <w:szCs w:val="21"/>
        </w:rPr>
        <w:t>următoarele</w:t>
      </w:r>
      <w:proofErr w:type="spellEnd"/>
      <w:r w:rsidRPr="009F22F8">
        <w:rPr>
          <w:rFonts w:ascii="Arial" w:eastAsia="Times New Roman" w:hAnsi="Arial" w:cs="Arial"/>
          <w:b/>
          <w:bCs/>
          <w:color w:val="000000"/>
          <w:sz w:val="21"/>
          <w:szCs w:val="21"/>
        </w:rPr>
        <w:t>:</w:t>
      </w:r>
    </w:p>
    <w:p w:rsidR="009F22F8" w:rsidRPr="009F22F8" w:rsidRDefault="009F22F8" w:rsidP="009F22F8">
      <w:pPr>
        <w:shd w:val="clear" w:color="auto" w:fill="FFFFFF"/>
        <w:spacing w:after="150" w:line="240" w:lineRule="auto"/>
        <w:ind w:firstLine="45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Încheierea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 din</w:t>
      </w:r>
      <w:proofErr w:type="gram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data de 10.11.2021,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prin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care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Înalta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Curte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de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Casație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și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Justiție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a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respins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contestația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PÎCCJ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și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a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hotărât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restituirea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dosarului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către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Secția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parchetelor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militare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pentru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refacerea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rechizitoriului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, a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avut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în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vedere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unele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aspecte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considerate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neregularități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ale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rechizitoriului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, precum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și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înlăturarea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unor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probe (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înscrisuri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).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Urmărirea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penală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în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ansamblul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său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, sub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aspectul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actelor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de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inculpare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punerea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în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mișcare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a</w:t>
      </w:r>
      <w:proofErr w:type="gram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acțiunii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penale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), nu s-a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reținut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să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fie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afectată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de motive de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nelegalitate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9F22F8" w:rsidRPr="009F22F8" w:rsidRDefault="009F22F8" w:rsidP="009F22F8">
      <w:pPr>
        <w:shd w:val="clear" w:color="auto" w:fill="FFFFFF"/>
        <w:spacing w:after="150" w:line="240" w:lineRule="auto"/>
        <w:ind w:firstLine="45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Procurorii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vor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examina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motivarea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încheierii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, precum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și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probele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rămase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câștigate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cauzei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, cu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celeritate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pentru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a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stabili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măsurile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necesare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în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vederea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soluționării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dosarului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și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refacerii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rechizitoriului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Obiectivele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dezvoltate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în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încheierea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motivată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vor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fi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avute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în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vedere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la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soluționarea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cauzei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după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înlăturarea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înscrisurilor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reținute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de ÎCCJ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că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nu pot fi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folosite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în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cadrul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procedurii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9F22F8" w:rsidRPr="009F22F8" w:rsidRDefault="009F22F8" w:rsidP="009F22F8">
      <w:pPr>
        <w:shd w:val="clear" w:color="auto" w:fill="FFFFFF"/>
        <w:spacing w:after="150" w:line="240" w:lineRule="auto"/>
        <w:ind w:firstLine="45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În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intervalul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de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timp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de la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emiterea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rechizitoriului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>  (</w:t>
      </w:r>
      <w:proofErr w:type="spellStart"/>
      <w:proofErr w:type="gramEnd"/>
      <w:r w:rsidRPr="009F22F8">
        <w:rPr>
          <w:rFonts w:ascii="Arial" w:eastAsia="Times New Roman" w:hAnsi="Arial" w:cs="Arial"/>
          <w:color w:val="000000"/>
          <w:sz w:val="21"/>
          <w:szCs w:val="21"/>
        </w:rPr>
        <w:t>aprilie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2019)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și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până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în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prezent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conducerea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PÎCCJ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și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a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Secției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parchetelor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militare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au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continuat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studiul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jurisprudenței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 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internaționale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actualizate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în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materia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infracțiunilor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considerate crime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împotriva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umanității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pentru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a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adapta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redactarea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actelor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procedurale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în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această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materie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la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specificul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evenimentelor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istorice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investigate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și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pentru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a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răspunde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excepțiilor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analizate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de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către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ÎCCJ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în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F22F8">
        <w:rPr>
          <w:rFonts w:ascii="Arial" w:eastAsia="Times New Roman" w:hAnsi="Arial" w:cs="Arial"/>
          <w:color w:val="000000"/>
          <w:sz w:val="21"/>
          <w:szCs w:val="21"/>
        </w:rPr>
        <w:t>hotărârile</w:t>
      </w:r>
      <w:proofErr w:type="spellEnd"/>
      <w:r w:rsidRPr="009F22F8">
        <w:rPr>
          <w:rFonts w:ascii="Arial" w:eastAsia="Times New Roman" w:hAnsi="Arial" w:cs="Arial"/>
          <w:color w:val="000000"/>
          <w:sz w:val="21"/>
          <w:szCs w:val="21"/>
        </w:rPr>
        <w:t xml:space="preserve"> sale.</w:t>
      </w:r>
    </w:p>
    <w:p w:rsidR="009F22F8" w:rsidRPr="009F22F8" w:rsidRDefault="009F22F8" w:rsidP="009F22F8">
      <w:pPr>
        <w:shd w:val="clear" w:color="auto" w:fill="FFFFFF"/>
        <w:spacing w:after="150" w:line="240" w:lineRule="auto"/>
        <w:ind w:left="-8" w:firstLine="45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F22F8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25C5B" w:rsidRDefault="00925C5B"/>
    <w:sectPr w:rsidR="00925C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2F8"/>
    <w:rsid w:val="00224B4A"/>
    <w:rsid w:val="003A3D9F"/>
    <w:rsid w:val="00925C5B"/>
    <w:rsid w:val="009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720D5-CBCF-4496-AAA1-2A8EAFE8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1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22224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37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3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25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184858">
                                          <w:marLeft w:val="-75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124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467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774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75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658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221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2021-11-11T11:37:00Z</dcterms:created>
  <dcterms:modified xsi:type="dcterms:W3CDTF">2021-11-11T11:38:00Z</dcterms:modified>
</cp:coreProperties>
</file>